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181DD4" w:rsidRPr="00181DD4">
        <w:rPr>
          <w:rFonts w:ascii="Arial" w:hAnsi="Arial"/>
          <w:sz w:val="20"/>
          <w:lang w:val="ru-RU"/>
        </w:rPr>
        <w:t>Современное всесезонное моторное масло с низким коэффициентом трения. Нетрадиционные базовые масла на основе HC-синтетической технологии были объединены с последними технологиями присадок. Моторное масло с низкой вязкостью, высокой стабильностью к сдвигу, обеспечивает оптимальную чистоту, снижает потери на трение в двигателе и обеспечивает превосходную защиту от износа. Снижает расход топлива при продлении срока службы двигателя. Протестировано на турбированных и оснащенных катализатором моторах. Предназначено для бензиновых и дизельных двигателей Opel до 2010 года выпуска, также обратно совместимо и, таким образом, может быть использовано в более старых транспортных средствах Opel, которые допускают применение в двигателе масла данного класса вязкости. При использовании необходимо соблюдать рекомендации производителей автомобилей.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1D79D8" w:rsidRPr="001D79D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</w:t>
      </w:r>
      <w:r w:rsidR="001D79D8" w:rsidRPr="001D79D8">
        <w:rPr>
          <w:rFonts w:ascii="Arial" w:hAnsi="Arial"/>
          <w:sz w:val="20"/>
          <w:lang w:val="ru-RU"/>
        </w:rPr>
        <w:t xml:space="preserve"> быстрое поступление масла к трущимся деталям при низких температурах,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D79D8">
        <w:rPr>
          <w:rFonts w:ascii="Arial" w:hAnsi="Arial"/>
          <w:sz w:val="20"/>
          <w:lang w:val="ru-RU"/>
        </w:rPr>
        <w:tab/>
        <w:t xml:space="preserve"> </w:t>
      </w:r>
      <w:r w:rsidRPr="00660C5B">
        <w:rPr>
          <w:rFonts w:ascii="Arial" w:hAnsi="Arial"/>
          <w:sz w:val="20"/>
          <w:lang w:val="ru-RU"/>
        </w:rPr>
        <w:t xml:space="preserve"> </w:t>
      </w:r>
      <w:r w:rsidRPr="001D79D8">
        <w:rPr>
          <w:rFonts w:ascii="Arial" w:hAnsi="Arial"/>
          <w:sz w:val="20"/>
          <w:lang w:val="ru-RU"/>
        </w:rPr>
        <w:t>обеспечивает отличный пуск холодного двигателя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D79D8">
        <w:rPr>
          <w:rFonts w:ascii="Arial" w:hAnsi="Arial"/>
          <w:sz w:val="20"/>
          <w:lang w:val="ru-RU"/>
        </w:rPr>
        <w:tab/>
        <w:t>- очень высокая защита двигателя от износа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экономия топлива, сокращает вредные выбросы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стабильно к старению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обеспечивает чистоту двигателя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- протестировано для использования в автомобилях с </w:t>
      </w:r>
      <w:proofErr w:type="gramStart"/>
      <w:r w:rsidRPr="001D79D8">
        <w:rPr>
          <w:rFonts w:ascii="Arial" w:hAnsi="Arial"/>
          <w:sz w:val="20"/>
          <w:lang w:val="ru-RU"/>
        </w:rPr>
        <w:t>каталитическим</w:t>
      </w:r>
      <w:proofErr w:type="gramEnd"/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нейтрализатором выхлопных газов</w:t>
      </w:r>
    </w:p>
    <w:p w:rsidR="00B26A92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 w:rsidRPr="001D79D8">
        <w:rPr>
          <w:rFonts w:ascii="Arial" w:hAnsi="Arial"/>
          <w:sz w:val="20"/>
          <w:lang w:val="ru-RU"/>
        </w:rPr>
        <w:tab/>
        <w:t>- не смешивают со стандартными моторными маслами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E05144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181DD4">
        <w:rPr>
          <w:rFonts w:ascii="Arial" w:hAnsi="Arial" w:cs="Arial"/>
          <w:sz w:val="20"/>
          <w:szCs w:val="20"/>
          <w:lang w:eastAsia="ru-RU"/>
        </w:rPr>
        <w:t>A3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181DD4">
        <w:rPr>
          <w:rFonts w:ascii="Arial" w:hAnsi="Arial" w:cs="Arial"/>
          <w:sz w:val="20"/>
          <w:szCs w:val="20"/>
          <w:lang w:eastAsia="ru-RU"/>
        </w:rPr>
        <w:t>B4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181DD4">
        <w:rPr>
          <w:rFonts w:ascii="Arial" w:hAnsi="Arial" w:cs="Arial"/>
          <w:sz w:val="20"/>
          <w:szCs w:val="20"/>
          <w:lang w:eastAsia="ru-RU"/>
        </w:rPr>
        <w:t>SL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81DD4">
        <w:rPr>
          <w:rFonts w:ascii="Arial" w:hAnsi="Arial" w:cs="Arial"/>
          <w:sz w:val="20"/>
          <w:szCs w:val="20"/>
          <w:lang w:eastAsia="ru-RU"/>
        </w:rPr>
        <w:t>API CF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>BMW Longlife-0</w:t>
      </w:r>
      <w:r w:rsidR="00181DD4">
        <w:rPr>
          <w:rFonts w:ascii="Arial" w:hAnsi="Arial" w:cs="Arial"/>
          <w:sz w:val="20"/>
          <w:szCs w:val="20"/>
          <w:lang w:eastAsia="ru-RU"/>
        </w:rPr>
        <w:t>1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MB-Freigabe 229.5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>
        <w:rPr>
          <w:rFonts w:ascii="Arial" w:hAnsi="Arial" w:cs="Arial"/>
          <w:sz w:val="20"/>
          <w:szCs w:val="20"/>
          <w:lang w:eastAsia="ru-RU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>VW 50</w:t>
      </w:r>
      <w:r w:rsidR="00181DD4">
        <w:rPr>
          <w:rFonts w:ascii="Arial" w:hAnsi="Arial" w:cs="Arial"/>
          <w:sz w:val="20"/>
          <w:szCs w:val="20"/>
          <w:lang w:eastAsia="ru-RU"/>
        </w:rPr>
        <w:t>2</w:t>
      </w:r>
      <w:r w:rsid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00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VW 50</w:t>
      </w:r>
      <w:r w:rsidR="00181DD4">
        <w:rPr>
          <w:rFonts w:ascii="Arial" w:hAnsi="Arial" w:cs="Arial"/>
          <w:sz w:val="20"/>
          <w:szCs w:val="20"/>
          <w:lang w:eastAsia="ru-RU"/>
        </w:rPr>
        <w:t>5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00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B26A92" w:rsidRPr="00660C5B" w:rsidRDefault="00E05144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660C5B">
        <w:rPr>
          <w:rFonts w:ascii="Arial" w:hAnsi="Arial" w:cs="Arial"/>
          <w:sz w:val="20"/>
          <w:szCs w:val="20"/>
          <w:lang w:val="ru-RU" w:eastAsia="ru-RU"/>
        </w:rPr>
        <w:tab/>
      </w:r>
      <w:r w:rsidR="00181DD4" w:rsidRPr="00181DD4">
        <w:rPr>
          <w:rFonts w:ascii="Arial" w:hAnsi="Arial" w:cs="Arial"/>
          <w:sz w:val="20"/>
          <w:szCs w:val="20"/>
          <w:lang w:val="en-US" w:eastAsia="ru-RU"/>
        </w:rPr>
        <w:t>Opel GM-LL-A-025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81DD4" w:rsidRPr="00181DD4">
        <w:rPr>
          <w:rFonts w:ascii="Arial" w:hAnsi="Arial" w:cs="Arial"/>
          <w:sz w:val="20"/>
          <w:szCs w:val="20"/>
          <w:lang w:val="en-US" w:eastAsia="ru-RU"/>
        </w:rPr>
        <w:t>Opel GM-LL-B-025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660C5B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F05FA1" w:rsidRPr="00F05FA1">
        <w:rPr>
          <w:rFonts w:ascii="Arial" w:hAnsi="Arial"/>
          <w:sz w:val="20"/>
          <w:lang w:val="ru-RU"/>
        </w:rPr>
        <w:t>-30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76636" w:rsidRPr="00F05FA1">
        <w:rPr>
          <w:rFonts w:ascii="Arial" w:hAnsi="Arial"/>
          <w:sz w:val="20"/>
          <w:lang w:val="ru-RU"/>
        </w:rPr>
        <w:tab/>
        <w:t>: 0,855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181DD4" w:rsidRPr="00005320">
        <w:rPr>
          <w:rFonts w:ascii="Arial" w:hAnsi="Arial"/>
          <w:sz w:val="20"/>
          <w:lang w:val="ru-RU"/>
        </w:rPr>
        <w:t>64</w:t>
      </w:r>
      <w:r w:rsidR="00F05FA1" w:rsidRPr="00F05FA1">
        <w:rPr>
          <w:rFonts w:ascii="Arial" w:hAnsi="Arial"/>
          <w:sz w:val="20"/>
          <w:lang w:val="ru-RU"/>
        </w:rPr>
        <w:t>.0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005320" w:rsidRPr="00005320">
        <w:rPr>
          <w:rFonts w:ascii="Arial" w:hAnsi="Arial"/>
          <w:sz w:val="20"/>
          <w:lang w:val="ru-RU"/>
        </w:rPr>
        <w:t>11</w:t>
      </w:r>
      <w:r w:rsidRPr="00D76636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17</w:t>
      </w:r>
      <w:r w:rsidR="00005320" w:rsidRPr="00660C5B"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660C5B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>
        <w:rPr>
          <w:rFonts w:ascii="Arial" w:hAnsi="Arial"/>
          <w:sz w:val="20"/>
          <w:lang w:val="fr-FR"/>
        </w:rPr>
        <w:t>42</w:t>
      </w:r>
      <w:r w:rsidR="00660C5B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660C5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 xml:space="preserve">Испаряемость (Noack) </w:t>
      </w: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:1</w:t>
      </w:r>
      <w:r w:rsidR="00005320" w:rsidRPr="00005320">
        <w:rPr>
          <w:rFonts w:ascii="Arial" w:hAnsi="Arial"/>
          <w:sz w:val="20"/>
          <w:lang w:val="ru-RU"/>
        </w:rPr>
        <w:t>1</w:t>
      </w:r>
      <w:r w:rsidRPr="00F26041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0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23</w:t>
      </w:r>
      <w:r w:rsidR="00005320" w:rsidRPr="00005320">
        <w:rPr>
          <w:rFonts w:ascii="Arial" w:hAnsi="Arial"/>
          <w:sz w:val="20"/>
          <w:lang w:val="ru-RU"/>
        </w:rPr>
        <w:t>0</w:t>
      </w:r>
      <w:r w:rsidR="00660C5B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660C5B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11</w:t>
      </w:r>
      <w:r w:rsid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2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F05FA1">
        <w:rPr>
          <w:rFonts w:ascii="Arial" w:hAnsi="Arial"/>
          <w:sz w:val="20"/>
          <w:lang w:val="en-US"/>
        </w:rPr>
        <w:tab/>
        <w:t>: L 3</w:t>
      </w:r>
      <w:r w:rsidR="00793503">
        <w:rPr>
          <w:rFonts w:ascii="Arial" w:hAnsi="Arial"/>
          <w:sz w:val="20"/>
          <w:lang w:val="en-US"/>
        </w:rPr>
        <w:t>,</w:t>
      </w:r>
      <w:r w:rsidR="00005320" w:rsidRPr="00005320">
        <w:rPr>
          <w:rFonts w:ascii="Arial" w:hAnsi="Arial"/>
          <w:sz w:val="20"/>
          <w:lang w:val="en-US"/>
        </w:rPr>
        <w:t>5</w:t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005320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005320" w:rsidRPr="00005320">
        <w:rPr>
          <w:rFonts w:ascii="Arial CYR" w:hAnsi="Arial CYR"/>
          <w:color w:val="000000"/>
          <w:sz w:val="20"/>
          <w:szCs w:val="20"/>
          <w:lang w:val="ru-RU"/>
        </w:rPr>
        <w:t>Специальное, HC–синтетическое, всесезонное моторное масло для современных бензиновых и дизельных моторов автомобилей Opel до 2010 модельного года. Также может использоваться и в старых двигателях Opel, в которых разрешено применение моторных масел данного класса вязкости.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005320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005320" w:rsidRPr="00005320">
        <w:rPr>
          <w:rFonts w:ascii="Arial" w:hAnsi="Arial"/>
          <w:sz w:val="20"/>
          <w:lang w:val="en-GB"/>
        </w:rPr>
        <w:t>Special</w:t>
      </w:r>
      <w:r w:rsidR="00005320" w:rsidRPr="00005320">
        <w:rPr>
          <w:rFonts w:ascii="Arial" w:hAnsi="Arial"/>
          <w:sz w:val="20"/>
          <w:lang w:val="ru-RU"/>
        </w:rPr>
        <w:t xml:space="preserve"> Тес </w:t>
      </w:r>
      <w:r w:rsidR="00005320" w:rsidRPr="00005320">
        <w:rPr>
          <w:rFonts w:ascii="Arial" w:hAnsi="Arial"/>
          <w:sz w:val="20"/>
          <w:lang w:val="en-GB"/>
        </w:rPr>
        <w:t>LL</w:t>
      </w:r>
      <w:r w:rsidR="00005320" w:rsidRPr="00005320">
        <w:rPr>
          <w:rFonts w:ascii="Arial" w:hAnsi="Arial"/>
          <w:sz w:val="20"/>
          <w:lang w:val="ru-RU"/>
        </w:rPr>
        <w:t xml:space="preserve">  5</w:t>
      </w:r>
      <w:r w:rsidR="00005320" w:rsidRPr="00005320">
        <w:rPr>
          <w:rFonts w:ascii="Arial" w:hAnsi="Arial"/>
          <w:sz w:val="20"/>
          <w:lang w:val="en-GB"/>
        </w:rPr>
        <w:t>W</w:t>
      </w:r>
      <w:r w:rsidR="00005320" w:rsidRPr="00005320">
        <w:rPr>
          <w:rFonts w:ascii="Arial" w:hAnsi="Arial"/>
          <w:sz w:val="20"/>
          <w:lang w:val="ru-RU"/>
        </w:rPr>
        <w:t>-30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005320" w:rsidRPr="00005320">
        <w:rPr>
          <w:rFonts w:ascii="Arial" w:hAnsi="Arial"/>
          <w:sz w:val="20"/>
          <w:lang w:val="ru-RU"/>
        </w:rPr>
        <w:t>1192/8054</w:t>
      </w:r>
    </w:p>
    <w:p w:rsidR="00793503" w:rsidRPr="00005320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005320" w:rsidRPr="00005320">
        <w:rPr>
          <w:rFonts w:ascii="Arial" w:hAnsi="Arial"/>
          <w:sz w:val="20"/>
          <w:lang w:val="ru-RU"/>
        </w:rPr>
        <w:t>7654</w:t>
      </w:r>
    </w:p>
    <w:p w:rsidR="00793503" w:rsidRPr="00005320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005320" w:rsidRPr="00005320">
        <w:rPr>
          <w:rFonts w:ascii="Arial" w:hAnsi="Arial"/>
          <w:sz w:val="20"/>
          <w:lang w:val="ru-RU"/>
        </w:rPr>
        <w:t>1193/8055</w:t>
      </w:r>
    </w:p>
    <w:p w:rsidR="00793503" w:rsidRPr="00005320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005320" w:rsidRPr="00005320">
        <w:rPr>
          <w:rFonts w:ascii="Arial" w:hAnsi="Arial"/>
          <w:sz w:val="20"/>
          <w:lang w:val="ru-RU"/>
        </w:rPr>
        <w:t>1194</w:t>
      </w:r>
    </w:p>
    <w:p w:rsidR="00793503" w:rsidRPr="00660C5B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005320" w:rsidRPr="00660C5B">
        <w:rPr>
          <w:rFonts w:ascii="Arial" w:hAnsi="Arial"/>
          <w:sz w:val="20"/>
          <w:lang w:val="ru-RU"/>
        </w:rPr>
        <w:t>1195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005320" w:rsidRPr="00660C5B">
        <w:rPr>
          <w:rFonts w:ascii="Arial" w:hAnsi="Arial"/>
          <w:sz w:val="20"/>
          <w:lang w:val="ru-RU"/>
        </w:rPr>
        <w:t>1196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</w:t>
      </w:r>
      <w:r w:rsidR="00005320" w:rsidRPr="00660C5B">
        <w:rPr>
          <w:rFonts w:ascii="Arial" w:hAnsi="Arial"/>
          <w:sz w:val="20"/>
          <w:lang w:val="ru-RU"/>
        </w:rPr>
        <w:t>29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005320" w:rsidRPr="00660C5B">
        <w:rPr>
          <w:rFonts w:ascii="Arial" w:hAnsi="Arial"/>
          <w:sz w:val="20"/>
          <w:szCs w:val="20"/>
          <w:lang w:val="ru-RU"/>
        </w:rPr>
        <w:t>29</w:t>
      </w:r>
      <w:r w:rsidR="00BC585E">
        <w:rPr>
          <w:rFonts w:ascii="Arial" w:hAnsi="Arial"/>
          <w:sz w:val="20"/>
          <w:szCs w:val="20"/>
        </w:rPr>
        <w:t>/</w:t>
      </w:r>
      <w:r w:rsidR="00005320">
        <w:rPr>
          <w:rFonts w:ascii="Arial" w:hAnsi="Arial"/>
          <w:sz w:val="20"/>
          <w:szCs w:val="20"/>
        </w:rPr>
        <w:t>29</w:t>
      </w:r>
      <w:r w:rsidR="00E05144">
        <w:rPr>
          <w:rFonts w:ascii="Arial" w:hAnsi="Arial"/>
          <w:sz w:val="20"/>
          <w:szCs w:val="20"/>
        </w:rPr>
        <w:t>/</w:t>
      </w:r>
      <w:r w:rsidR="00005320">
        <w:rPr>
          <w:rFonts w:ascii="Arial" w:hAnsi="Arial"/>
          <w:sz w:val="20"/>
          <w:szCs w:val="20"/>
        </w:rPr>
        <w:t>06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4C" w:rsidRDefault="00B25E4C">
      <w:r>
        <w:separator/>
      </w:r>
    </w:p>
  </w:endnote>
  <w:endnote w:type="continuationSeparator" w:id="0">
    <w:p w:rsidR="00B25E4C" w:rsidRDefault="00B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4C" w:rsidRDefault="00B25E4C">
      <w:r>
        <w:separator/>
      </w:r>
    </w:p>
  </w:footnote>
  <w:footnote w:type="continuationSeparator" w:id="0">
    <w:p w:rsidR="00B25E4C" w:rsidRDefault="00B2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181DD4" w:rsidP="001D79D8">
    <w:pPr>
      <w:pStyle w:val="a3"/>
      <w:rPr>
        <w:lang w:val="en-GB"/>
      </w:rPr>
    </w:pPr>
    <w:r>
      <w:rPr>
        <w:rFonts w:ascii="Arial" w:hAnsi="Arial"/>
        <w:b/>
        <w:sz w:val="36"/>
        <w:lang w:val="en-GB"/>
      </w:rPr>
      <w:t>Special</w:t>
    </w:r>
    <w:r w:rsidR="001D79D8" w:rsidRPr="001D79D8">
      <w:rPr>
        <w:rFonts w:ascii="Arial" w:hAnsi="Arial"/>
        <w:b/>
        <w:sz w:val="36"/>
        <w:lang w:val="en-GB"/>
      </w:rPr>
      <w:t xml:space="preserve"> Tec </w:t>
    </w:r>
    <w:r>
      <w:rPr>
        <w:rFonts w:ascii="Arial" w:hAnsi="Arial"/>
        <w:b/>
        <w:sz w:val="36"/>
        <w:lang w:val="en-GB"/>
      </w:rPr>
      <w:t>LL</w:t>
    </w:r>
    <w:r w:rsidR="001D79D8" w:rsidRPr="001D79D8">
      <w:rPr>
        <w:rFonts w:ascii="Arial" w:hAnsi="Arial"/>
        <w:b/>
        <w:sz w:val="36"/>
        <w:lang w:val="en-GB"/>
      </w:rPr>
      <w:t xml:space="preserve"> 5W-30</w:t>
    </w:r>
    <w:r w:rsidR="001D79D8" w:rsidRPr="001D79D8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B53E6"/>
    <w:rsid w:val="000F0F21"/>
    <w:rsid w:val="00117F11"/>
    <w:rsid w:val="00181DD4"/>
    <w:rsid w:val="001A5CDD"/>
    <w:rsid w:val="001D79D8"/>
    <w:rsid w:val="00211769"/>
    <w:rsid w:val="002202C4"/>
    <w:rsid w:val="00281868"/>
    <w:rsid w:val="00366092"/>
    <w:rsid w:val="003A6F37"/>
    <w:rsid w:val="003D3BA8"/>
    <w:rsid w:val="00545112"/>
    <w:rsid w:val="006442A6"/>
    <w:rsid w:val="00660C5B"/>
    <w:rsid w:val="00676189"/>
    <w:rsid w:val="00682D77"/>
    <w:rsid w:val="00683139"/>
    <w:rsid w:val="006E3DF5"/>
    <w:rsid w:val="006E7B90"/>
    <w:rsid w:val="00710510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B25E4C"/>
    <w:rsid w:val="00B26A92"/>
    <w:rsid w:val="00B920D6"/>
    <w:rsid w:val="00BB785A"/>
    <w:rsid w:val="00BC585E"/>
    <w:rsid w:val="00BE01F4"/>
    <w:rsid w:val="00BE7FF3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DBE6-0D89-4C7F-94F9-E4D89BB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2017-10-11T07:34:00Z</cp:lastPrinted>
  <dcterms:created xsi:type="dcterms:W3CDTF">2017-12-12T07:46:00Z</dcterms:created>
  <dcterms:modified xsi:type="dcterms:W3CDTF">2017-12-13T08:00:00Z</dcterms:modified>
</cp:coreProperties>
</file>